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ind w:right="800"/>
        <w:rPr>
          <w:rFonts w:hint="eastAsia" w:ascii="游ゴシック Light" w:hAnsi="游ゴシック Light" w:eastAsia="游ゴシック Light"/>
          <w:sz w:val="20"/>
        </w:rPr>
      </w:pPr>
      <w:r>
        <w:rPr>
          <w:rFonts w:hint="eastAsia" w:ascii="游ゴシック Light" w:hAnsi="游ゴシック Light" w:eastAsia="游ゴシック Light"/>
          <w:sz w:val="20"/>
        </w:rPr>
        <w:t>様式第８号</w:t>
      </w:r>
    </w:p>
    <w:p>
      <w:pPr>
        <w:pStyle w:val="0"/>
        <w:wordWrap w:val="0"/>
        <w:ind w:right="-7"/>
        <w:jc w:val="right"/>
        <w:rPr>
          <w:rFonts w:hint="eastAsia" w:ascii="游ゴシック Light" w:hAnsi="游ゴシック Light" w:eastAsia="游ゴシック Light"/>
          <w:sz w:val="20"/>
        </w:rPr>
      </w:pPr>
      <w:r>
        <w:rPr>
          <w:rFonts w:hint="eastAsia" w:ascii="游ゴシック Light" w:hAnsi="游ゴシック Light" w:eastAsia="游ゴシック Light"/>
          <w:sz w:val="20"/>
        </w:rPr>
        <w:t>令和　年　月　日</w:t>
      </w:r>
    </w:p>
    <w:p>
      <w:pPr>
        <w:pStyle w:val="0"/>
        <w:wordWrap w:val="0"/>
        <w:ind w:right="800"/>
        <w:rPr>
          <w:rFonts w:hint="default" w:ascii="游ゴシック Light" w:hAnsi="游ゴシック Light" w:eastAsia="游ゴシック Light"/>
          <w:sz w:val="20"/>
        </w:rPr>
      </w:pPr>
    </w:p>
    <w:p>
      <w:pPr>
        <w:pStyle w:val="0"/>
        <w:wordWrap w:val="0"/>
        <w:ind w:right="-7"/>
        <w:rPr>
          <w:rFonts w:hint="eastAsia" w:ascii="游ゴシック Light" w:hAnsi="游ゴシック Light" w:eastAsia="游ゴシック Light"/>
          <w:sz w:val="20"/>
        </w:rPr>
      </w:pPr>
      <w:r>
        <w:rPr>
          <w:rFonts w:hint="eastAsia" w:ascii="游ゴシック Light" w:hAnsi="游ゴシック Light" w:eastAsia="游ゴシック Light"/>
          <w:sz w:val="20"/>
        </w:rPr>
        <w:t>小林市長　堀　研二郎　様</w:t>
      </w:r>
    </w:p>
    <w:p>
      <w:pPr>
        <w:pStyle w:val="0"/>
        <w:wordWrap w:val="0"/>
        <w:ind w:right="-7"/>
        <w:rPr>
          <w:rFonts w:hint="default" w:ascii="游ゴシック Light" w:hAnsi="游ゴシック Light" w:eastAsia="游ゴシック Light"/>
          <w:sz w:val="20"/>
        </w:rPr>
      </w:pPr>
      <w:bookmarkStart w:id="0" w:name="_GoBack"/>
      <w:bookmarkEnd w:id="0"/>
    </w:p>
    <w:p>
      <w:pPr>
        <w:pStyle w:val="0"/>
        <w:wordWrap w:val="0"/>
        <w:ind w:right="-7" w:firstLine="4820" w:firstLineChars="2410"/>
        <w:rPr>
          <w:rFonts w:hint="eastAsia" w:ascii="游ゴシック Light" w:hAnsi="游ゴシック Light" w:eastAsia="游ゴシック Light"/>
          <w:sz w:val="20"/>
        </w:rPr>
      </w:pPr>
      <w:r>
        <w:rPr>
          <w:rFonts w:hint="eastAsia" w:ascii="游ゴシック Light" w:hAnsi="游ゴシック Light" w:eastAsia="游ゴシック Light"/>
          <w:sz w:val="20"/>
        </w:rPr>
        <w:t>住所</w:t>
      </w:r>
    </w:p>
    <w:p>
      <w:pPr>
        <w:pStyle w:val="0"/>
        <w:wordWrap w:val="0"/>
        <w:ind w:right="-7" w:firstLine="4820" w:firstLineChars="2410"/>
        <w:rPr>
          <w:rFonts w:hint="eastAsia" w:ascii="游ゴシック Light" w:hAnsi="游ゴシック Light" w:eastAsia="游ゴシック Light"/>
          <w:sz w:val="20"/>
        </w:rPr>
      </w:pPr>
      <w:r>
        <w:rPr>
          <w:rFonts w:hint="eastAsia" w:ascii="游ゴシック Light" w:hAnsi="游ゴシック Light" w:eastAsia="游ゴシック Light"/>
          <w:sz w:val="20"/>
        </w:rPr>
        <w:t>商号</w:t>
      </w:r>
    </w:p>
    <w:p>
      <w:pPr>
        <w:pStyle w:val="0"/>
        <w:wordWrap w:val="0"/>
        <w:ind w:right="-7" w:firstLine="4820" w:firstLineChars="2410"/>
        <w:rPr>
          <w:rFonts w:hint="eastAsia" w:ascii="游ゴシック Light" w:hAnsi="游ゴシック Light" w:eastAsia="游ゴシック Light"/>
          <w:sz w:val="20"/>
        </w:rPr>
      </w:pPr>
      <w:r>
        <w:rPr>
          <w:rFonts w:hint="eastAsia" w:ascii="游ゴシック Light" w:hAnsi="游ゴシック Light" w:eastAsia="游ゴシック Light"/>
          <w:sz w:val="20"/>
        </w:rPr>
        <w:t>代表者職氏名</w:t>
      </w:r>
    </w:p>
    <w:p>
      <w:pPr>
        <w:pStyle w:val="0"/>
        <w:wordWrap w:val="0"/>
        <w:ind w:right="-7"/>
        <w:rPr>
          <w:rFonts w:hint="default" w:ascii="游ゴシック Light" w:hAnsi="游ゴシック Light" w:eastAsia="游ゴシック Light"/>
          <w:sz w:val="20"/>
        </w:rPr>
      </w:pPr>
    </w:p>
    <w:p>
      <w:pPr>
        <w:pStyle w:val="0"/>
        <w:ind w:right="-7"/>
        <w:jc w:val="center"/>
        <w:rPr>
          <w:rFonts w:hint="eastAsia" w:ascii="游ゴシック Light" w:hAnsi="游ゴシック Light" w:eastAsia="游ゴシック Light"/>
          <w:sz w:val="20"/>
        </w:rPr>
      </w:pPr>
      <w:r>
        <w:rPr>
          <w:rFonts w:hint="eastAsia" w:ascii="游ゴシック Light" w:hAnsi="游ゴシック Light" w:eastAsia="游ゴシック Light"/>
          <w:sz w:val="20"/>
        </w:rPr>
        <w:t>誓約書</w:t>
      </w:r>
    </w:p>
    <w:p>
      <w:pPr>
        <w:pStyle w:val="0"/>
        <w:wordWrap w:val="0"/>
        <w:ind w:right="-7"/>
        <w:rPr>
          <w:rFonts w:hint="default" w:ascii="游ゴシック Light" w:hAnsi="游ゴシック Light" w:eastAsia="游ゴシック Light"/>
          <w:sz w:val="20"/>
        </w:rPr>
      </w:pPr>
    </w:p>
    <w:p>
      <w:pPr>
        <w:pStyle w:val="0"/>
        <w:wordWrap w:val="0"/>
        <w:ind w:right="-7"/>
        <w:rPr>
          <w:rFonts w:hint="eastAsia" w:ascii="游ゴシック Light" w:hAnsi="游ゴシック Light" w:eastAsia="游ゴシック Light"/>
          <w:sz w:val="20"/>
        </w:rPr>
      </w:pPr>
      <w:r>
        <w:rPr>
          <w:rFonts w:hint="eastAsia" w:ascii="游ゴシック Light" w:hAnsi="游ゴシック Light" w:eastAsia="游ゴシック Light"/>
          <w:sz w:val="20"/>
        </w:rPr>
        <w:t>　当社は、小林市ふるさと納税推進業務及びプロモーション推進業務公募型プロポーザルに参加するに当たり、下記参加資格要件を満たしていること及び添付書類の記載事項については、事実と相違ないことを誓約します。</w:t>
      </w:r>
    </w:p>
    <w:p>
      <w:pPr>
        <w:pStyle w:val="0"/>
        <w:wordWrap w:val="0"/>
        <w:ind w:right="-7"/>
        <w:rPr>
          <w:rFonts w:hint="default" w:ascii="游ゴシック Light" w:hAnsi="游ゴシック Light" w:eastAsia="游ゴシック Light"/>
          <w:sz w:val="20"/>
        </w:rPr>
      </w:pPr>
    </w:p>
    <w:p>
      <w:pPr>
        <w:pStyle w:val="0"/>
        <w:ind w:right="-7"/>
        <w:jc w:val="center"/>
        <w:rPr>
          <w:rFonts w:hint="eastAsia" w:ascii="游ゴシック Light" w:hAnsi="游ゴシック Light" w:eastAsia="游ゴシック Light"/>
          <w:sz w:val="20"/>
        </w:rPr>
      </w:pPr>
      <w:r>
        <w:rPr>
          <w:rFonts w:hint="eastAsia" w:ascii="游ゴシック Light" w:hAnsi="游ゴシック Light" w:eastAsia="游ゴシック Light"/>
          <w:sz w:val="20"/>
        </w:rPr>
        <w:t>記</w:t>
      </w:r>
    </w:p>
    <w:p>
      <w:pPr>
        <w:pStyle w:val="0"/>
        <w:wordWrap w:val="0"/>
        <w:ind w:right="-7"/>
        <w:rPr>
          <w:rFonts w:hint="eastAsia" w:ascii="游ゴシック Light" w:hAnsi="游ゴシック Light" w:eastAsia="游ゴシック Light"/>
          <w:sz w:val="20"/>
        </w:rPr>
      </w:pPr>
      <w:r>
        <w:rPr>
          <w:rFonts w:hint="eastAsia" w:ascii="游ゴシック Light" w:hAnsi="游ゴシック Light" w:eastAsia="游ゴシック Light"/>
          <w:sz w:val="20"/>
        </w:rPr>
        <w:t>参加資格</w:t>
      </w:r>
    </w:p>
    <w:p>
      <w:pPr>
        <w:pStyle w:val="0"/>
        <w:ind w:left="588" w:right="-7" w:hanging="588" w:hangingChars="294"/>
        <w:jc w:val="left"/>
        <w:rPr>
          <w:rFonts w:hint="eastAsia" w:ascii="游ゴシック Light" w:hAnsi="游ゴシック Light" w:eastAsia="游ゴシック Light"/>
          <w:sz w:val="20"/>
        </w:rPr>
      </w:pPr>
      <w:r>
        <w:rPr>
          <w:rFonts w:hint="eastAsia" w:ascii="游ゴシック Light" w:hAnsi="游ゴシック Light" w:eastAsia="游ゴシック Light"/>
          <w:sz w:val="20"/>
        </w:rPr>
        <w:t>（１）地方自治法施行令（昭和</w:t>
      </w:r>
      <w:r>
        <w:rPr>
          <w:rFonts w:hint="eastAsia" w:ascii="游ゴシック Light" w:hAnsi="游ゴシック Light" w:eastAsia="游ゴシック Light"/>
          <w:sz w:val="20"/>
        </w:rPr>
        <w:t xml:space="preserve">22 </w:t>
      </w:r>
      <w:r>
        <w:rPr>
          <w:rFonts w:hint="eastAsia" w:ascii="游ゴシック Light" w:hAnsi="游ゴシック Light" w:eastAsia="游ゴシック Light"/>
          <w:sz w:val="20"/>
        </w:rPr>
        <w:t>条政令第第</w:t>
      </w:r>
      <w:r>
        <w:rPr>
          <w:rFonts w:hint="eastAsia" w:ascii="游ゴシック Light" w:hAnsi="游ゴシック Light" w:eastAsia="游ゴシック Light"/>
          <w:sz w:val="20"/>
        </w:rPr>
        <w:t xml:space="preserve">16 </w:t>
      </w:r>
      <w:r>
        <w:rPr>
          <w:rFonts w:hint="eastAsia" w:ascii="游ゴシック Light" w:hAnsi="游ゴシック Light" w:eastAsia="游ゴシック Light"/>
          <w:sz w:val="20"/>
        </w:rPr>
        <w:t>号）第１６７条の４の規定に該当しない者であること。</w:t>
      </w:r>
    </w:p>
    <w:p>
      <w:pPr>
        <w:pStyle w:val="0"/>
        <w:wordWrap w:val="0"/>
        <w:ind w:left="616" w:right="-7" w:hanging="616" w:hangingChars="308"/>
        <w:jc w:val="left"/>
        <w:rPr>
          <w:rFonts w:hint="eastAsia" w:ascii="游ゴシック Light" w:hAnsi="游ゴシック Light" w:eastAsia="游ゴシック Light"/>
          <w:sz w:val="20"/>
        </w:rPr>
      </w:pPr>
      <w:r>
        <w:rPr>
          <w:rFonts w:hint="eastAsia" w:ascii="游ゴシック Light" w:hAnsi="游ゴシック Light" w:eastAsia="游ゴシック Light"/>
          <w:sz w:val="20"/>
        </w:rPr>
        <w:t>（２）民事再生法（平成</w:t>
      </w:r>
      <w:r>
        <w:rPr>
          <w:rFonts w:hint="eastAsia" w:ascii="游ゴシック Light" w:hAnsi="游ゴシック Light" w:eastAsia="游ゴシック Light"/>
          <w:sz w:val="20"/>
        </w:rPr>
        <w:t xml:space="preserve">11 </w:t>
      </w:r>
      <w:r>
        <w:rPr>
          <w:rFonts w:hint="eastAsia" w:ascii="游ゴシック Light" w:hAnsi="游ゴシック Light" w:eastAsia="游ゴシック Light"/>
          <w:sz w:val="20"/>
        </w:rPr>
        <w:t>年法律第</w:t>
      </w:r>
      <w:r>
        <w:rPr>
          <w:rFonts w:hint="eastAsia" w:ascii="游ゴシック Light" w:hAnsi="游ゴシック Light" w:eastAsia="游ゴシック Light"/>
          <w:sz w:val="20"/>
        </w:rPr>
        <w:t xml:space="preserve">225 </w:t>
      </w:r>
      <w:r>
        <w:rPr>
          <w:rFonts w:hint="eastAsia" w:ascii="游ゴシック Light" w:hAnsi="游ゴシック Light" w:eastAsia="游ゴシック Light"/>
          <w:sz w:val="20"/>
        </w:rPr>
        <w:t>号）に基づく再生手続開始の申立て又は会社更生法（平成</w:t>
      </w:r>
      <w:r>
        <w:rPr>
          <w:rFonts w:hint="eastAsia" w:ascii="游ゴシック Light" w:hAnsi="游ゴシック Light" w:eastAsia="游ゴシック Light"/>
          <w:sz w:val="20"/>
        </w:rPr>
        <w:t xml:space="preserve">14 </w:t>
      </w:r>
      <w:r>
        <w:rPr>
          <w:rFonts w:hint="eastAsia" w:ascii="游ゴシック Light" w:hAnsi="游ゴシック Light" w:eastAsia="游ゴシック Light"/>
          <w:sz w:val="20"/>
        </w:rPr>
        <w:t>年法律第</w:t>
      </w:r>
      <w:r>
        <w:rPr>
          <w:rFonts w:hint="eastAsia" w:ascii="游ゴシック Light" w:hAnsi="游ゴシック Light" w:eastAsia="游ゴシック Light"/>
          <w:sz w:val="20"/>
        </w:rPr>
        <w:t xml:space="preserve">154 </w:t>
      </w:r>
      <w:r>
        <w:rPr>
          <w:rFonts w:hint="eastAsia" w:ascii="游ゴシック Light" w:hAnsi="游ゴシック Light" w:eastAsia="游ゴシック Light"/>
          <w:sz w:val="20"/>
        </w:rPr>
        <w:t>号）に基づく更生手続開始の申立てを行っている者（再生手続開始又は更生手続開始の決定を受けている者を除く。）でないこと。</w:t>
      </w:r>
    </w:p>
    <w:p>
      <w:pPr>
        <w:pStyle w:val="0"/>
        <w:wordWrap w:val="0"/>
        <w:ind w:left="602" w:right="-7" w:hanging="602" w:hangingChars="301"/>
        <w:jc w:val="left"/>
        <w:rPr>
          <w:rFonts w:hint="eastAsia" w:ascii="游ゴシック Light" w:hAnsi="游ゴシック Light" w:eastAsia="游ゴシック Light"/>
          <w:sz w:val="20"/>
        </w:rPr>
      </w:pPr>
      <w:r>
        <w:rPr>
          <w:rFonts w:hint="eastAsia" w:ascii="游ゴシック Light" w:hAnsi="游ゴシック Light" w:eastAsia="游ゴシック Light"/>
          <w:sz w:val="20"/>
        </w:rPr>
        <w:t>（３）公告の日から契約締結の日までの間のいずれの日において、小林市から指名停止措置若しくは入札参加資格の取消しを受けていない者であること。</w:t>
      </w:r>
    </w:p>
    <w:p>
      <w:pPr>
        <w:pStyle w:val="0"/>
        <w:wordWrap w:val="0"/>
        <w:ind w:right="-7"/>
        <w:jc w:val="left"/>
        <w:rPr>
          <w:rFonts w:hint="eastAsia" w:ascii="游ゴシック Light" w:hAnsi="游ゴシック Light" w:eastAsia="游ゴシック Light"/>
          <w:sz w:val="20"/>
        </w:rPr>
      </w:pPr>
      <w:r>
        <w:rPr>
          <w:rFonts w:hint="eastAsia" w:ascii="游ゴシック Light" w:hAnsi="游ゴシック Light" w:eastAsia="游ゴシック Light"/>
          <w:sz w:val="20"/>
        </w:rPr>
        <w:t>（４）小林市に納付すべき市税の滞納がない者であること。</w:t>
      </w:r>
    </w:p>
    <w:p>
      <w:pPr>
        <w:pStyle w:val="0"/>
        <w:wordWrap w:val="0"/>
        <w:ind w:right="-7"/>
        <w:jc w:val="left"/>
        <w:rPr>
          <w:rFonts w:hint="eastAsia" w:ascii="游ゴシック Light" w:hAnsi="游ゴシック Light" w:eastAsia="游ゴシック Light"/>
          <w:sz w:val="20"/>
        </w:rPr>
      </w:pPr>
      <w:r>
        <w:rPr>
          <w:rFonts w:hint="eastAsia" w:ascii="游ゴシック Light" w:hAnsi="游ゴシック Light" w:eastAsia="游ゴシック Light"/>
          <w:sz w:val="20"/>
        </w:rPr>
        <w:t>（５）国に納付すべき消費税及び地方消費税の滞納がない者であること。</w:t>
      </w:r>
    </w:p>
    <w:p>
      <w:pPr>
        <w:pStyle w:val="0"/>
        <w:wordWrap w:val="0"/>
        <w:ind w:left="588" w:right="-7" w:hanging="588" w:hangingChars="294"/>
        <w:jc w:val="left"/>
        <w:rPr>
          <w:rFonts w:hint="eastAsia" w:ascii="游ゴシック Light" w:hAnsi="游ゴシック Light" w:eastAsia="游ゴシック Light"/>
          <w:sz w:val="20"/>
        </w:rPr>
      </w:pPr>
      <w:r>
        <w:rPr>
          <w:rFonts w:hint="eastAsia" w:ascii="游ゴシック Light" w:hAnsi="游ゴシック Light" w:eastAsia="游ゴシック Light"/>
          <w:sz w:val="20"/>
        </w:rPr>
        <w:t>（６）法人等にあっては役員等（個人にあってはその者）が小林市暴力団排除条例（平成</w:t>
      </w:r>
      <w:r>
        <w:rPr>
          <w:rFonts w:hint="eastAsia" w:ascii="游ゴシック Light" w:hAnsi="游ゴシック Light" w:eastAsia="游ゴシック Light"/>
          <w:sz w:val="20"/>
        </w:rPr>
        <w:t>23</w:t>
      </w:r>
      <w:r>
        <w:rPr>
          <w:rFonts w:hint="eastAsia" w:ascii="游ゴシック Light" w:hAnsi="游ゴシック Light" w:eastAsia="游ゴシック Light"/>
          <w:sz w:val="20"/>
        </w:rPr>
        <w:t>年条例第</w:t>
      </w:r>
      <w:r>
        <w:rPr>
          <w:rFonts w:hint="eastAsia" w:ascii="游ゴシック Light" w:hAnsi="游ゴシック Light" w:eastAsia="游ゴシック Light"/>
          <w:sz w:val="20"/>
        </w:rPr>
        <w:t>25</w:t>
      </w:r>
      <w:r>
        <w:rPr>
          <w:rFonts w:hint="eastAsia" w:ascii="游ゴシック Light" w:hAnsi="游ゴシック Light" w:eastAsia="游ゴシック Light"/>
          <w:sz w:val="20"/>
        </w:rPr>
        <w:t>号）第２条第３号に規定する暴力団関係者（暴力団員又は暴力団若しくは暴力団と密接な関係を有する者）ではないこと。</w:t>
      </w:r>
    </w:p>
    <w:p>
      <w:pPr>
        <w:pStyle w:val="0"/>
        <w:ind w:left="616" w:right="-7" w:hanging="616" w:hangingChars="308"/>
        <w:jc w:val="left"/>
        <w:rPr>
          <w:rFonts w:hint="eastAsia" w:ascii="游ゴシック Light" w:hAnsi="游ゴシック Light" w:eastAsia="游ゴシック Light"/>
          <w:sz w:val="20"/>
        </w:rPr>
      </w:pPr>
      <w:r>
        <w:rPr>
          <w:rFonts w:hint="eastAsia" w:ascii="游ゴシック Light" w:hAnsi="游ゴシック Light" w:eastAsia="游ゴシック Light"/>
          <w:sz w:val="20"/>
        </w:rPr>
        <w:t>（７）個人情報保護及び情報セキュリティ管理に関して、プライバシーマーク認証若しくは</w:t>
      </w:r>
      <w:r>
        <w:rPr>
          <w:rFonts w:hint="eastAsia" w:ascii="游ゴシック Light" w:hAnsi="游ゴシック Light" w:eastAsia="游ゴシック Light"/>
          <w:sz w:val="20"/>
        </w:rPr>
        <w:t>ISMS</w:t>
      </w:r>
      <w:r>
        <w:rPr>
          <w:rFonts w:hint="eastAsia" w:ascii="游ゴシック Light" w:hAnsi="游ゴシック Light" w:eastAsia="游ゴシック Light"/>
          <w:sz w:val="20"/>
        </w:rPr>
        <w:t>認証（</w:t>
      </w:r>
      <w:r>
        <w:rPr>
          <w:rFonts w:hint="eastAsia" w:ascii="游ゴシック Light" w:hAnsi="游ゴシック Light" w:eastAsia="游ゴシック Light"/>
          <w:sz w:val="20"/>
        </w:rPr>
        <w:t>ISO/IEC 27001</w:t>
      </w:r>
      <w:r>
        <w:rPr>
          <w:rFonts w:hint="eastAsia" w:ascii="游ゴシック Light" w:hAnsi="游ゴシック Light" w:eastAsia="游ゴシック Light"/>
          <w:sz w:val="20"/>
        </w:rPr>
        <w:t>）を取得していること、又はこれと同等の適切な管理体制を構築していること。</w:t>
      </w:r>
    </w:p>
    <w:p>
      <w:pPr>
        <w:pStyle w:val="0"/>
        <w:wordWrap w:val="0"/>
        <w:ind w:left="602" w:right="-7" w:hanging="602" w:hangingChars="301"/>
        <w:jc w:val="left"/>
        <w:rPr>
          <w:rFonts w:hint="eastAsia" w:ascii="游ゴシック Light" w:hAnsi="游ゴシック Light" w:eastAsia="游ゴシック Light"/>
          <w:sz w:val="20"/>
        </w:rPr>
      </w:pPr>
      <w:r>
        <w:rPr>
          <w:rFonts w:hint="eastAsia" w:ascii="游ゴシック Light" w:hAnsi="游ゴシック Light" w:eastAsia="游ゴシック Light"/>
          <w:sz w:val="20"/>
        </w:rPr>
        <w:t>（８）過去</w:t>
      </w:r>
      <w:r>
        <w:rPr>
          <w:rFonts w:hint="eastAsia" w:ascii="游ゴシック Light" w:hAnsi="游ゴシック Light" w:eastAsia="游ゴシック Light"/>
          <w:sz w:val="20"/>
        </w:rPr>
        <w:t>3</w:t>
      </w:r>
      <w:r>
        <w:rPr>
          <w:rFonts w:hint="eastAsia" w:ascii="游ゴシック Light" w:hAnsi="游ゴシック Light" w:eastAsia="游ゴシック Light"/>
          <w:sz w:val="20"/>
        </w:rPr>
        <w:t>年間において、単年度（</w:t>
      </w:r>
      <w:r>
        <w:rPr>
          <w:rFonts w:hint="eastAsia" w:ascii="游ゴシック Light" w:hAnsi="游ゴシック Light" w:eastAsia="游ゴシック Light"/>
          <w:sz w:val="20"/>
        </w:rPr>
        <w:t>4</w:t>
      </w:r>
      <w:r>
        <w:rPr>
          <w:rFonts w:hint="eastAsia" w:ascii="游ゴシック Light" w:hAnsi="游ゴシック Light" w:eastAsia="游ゴシック Light"/>
          <w:sz w:val="20"/>
        </w:rPr>
        <w:t>月～</w:t>
      </w:r>
      <w:r>
        <w:rPr>
          <w:rFonts w:hint="eastAsia" w:ascii="游ゴシック Light" w:hAnsi="游ゴシック Light" w:eastAsia="游ゴシック Light"/>
          <w:sz w:val="20"/>
        </w:rPr>
        <w:t>3</w:t>
      </w:r>
      <w:r>
        <w:rPr>
          <w:rFonts w:hint="eastAsia" w:ascii="游ゴシック Light" w:hAnsi="游ゴシック Light" w:eastAsia="游ゴシック Light"/>
          <w:sz w:val="20"/>
        </w:rPr>
        <w:t>月）寄付額</w:t>
      </w:r>
      <w:r>
        <w:rPr>
          <w:rFonts w:hint="eastAsia" w:ascii="游ゴシック Light" w:hAnsi="游ゴシック Light" w:eastAsia="游ゴシック Light"/>
          <w:sz w:val="20"/>
        </w:rPr>
        <w:t>20</w:t>
      </w:r>
      <w:r>
        <w:rPr>
          <w:rFonts w:hint="eastAsia" w:ascii="游ゴシック Light" w:hAnsi="游ゴシック Light" w:eastAsia="游ゴシック Light"/>
          <w:sz w:val="20"/>
        </w:rPr>
        <w:t>億円以上の自治体におけるふるさと納税関連業務（同種・類似業務）を受注し、適正に履行した実績を有すること。</w:t>
      </w:r>
    </w:p>
    <w:p>
      <w:pPr>
        <w:pStyle w:val="0"/>
        <w:wordWrap w:val="0"/>
        <w:ind w:left="602" w:right="-7" w:hanging="602" w:hangingChars="301"/>
        <w:jc w:val="left"/>
        <w:rPr>
          <w:rFonts w:hint="default" w:ascii="游ゴシック Light" w:hAnsi="游ゴシック Light" w:eastAsia="游ゴシック Light"/>
          <w:sz w:val="20"/>
        </w:rPr>
      </w:pPr>
      <w:r>
        <w:rPr>
          <w:rFonts w:hint="eastAsia" w:ascii="游ゴシック Light" w:hAnsi="游ゴシック Light" w:eastAsia="游ゴシック Light"/>
          <w:sz w:val="20"/>
        </w:rPr>
        <w:t>（９）本プロポーザル選定委員会の委員が自ら主宰、役員若しくは顧問を務めている法人その他の組織でないこと。</w:t>
      </w:r>
    </w:p>
    <w:p>
      <w:pPr>
        <w:pStyle w:val="0"/>
        <w:wordWrap w:val="0"/>
        <w:ind w:left="602" w:right="-7" w:hanging="602" w:hangingChars="301"/>
        <w:rPr>
          <w:rFonts w:hint="default" w:ascii="游ゴシック Light" w:hAnsi="游ゴシック Light" w:eastAsia="游ゴシック Light"/>
          <w:sz w:val="20"/>
        </w:rPr>
      </w:pPr>
    </w:p>
    <w:p>
      <w:pPr>
        <w:pStyle w:val="0"/>
        <w:wordWrap w:val="0"/>
        <w:ind w:right="-7" w:firstLine="5528" w:firstLineChars="2764"/>
        <w:rPr>
          <w:rFonts w:hint="eastAsia" w:ascii="游ゴシック Light" w:hAnsi="游ゴシック Light" w:eastAsia="游ゴシック Light"/>
          <w:sz w:val="20"/>
        </w:rPr>
      </w:pPr>
      <w:r>
        <w:rPr>
          <w:rFonts w:hint="eastAsia" w:ascii="游ゴシック Light" w:hAnsi="游ゴシック Light" w:eastAsia="游ゴシック Light"/>
          <w:sz w:val="20"/>
        </w:rPr>
        <w:t>担当部署</w:t>
      </w:r>
    </w:p>
    <w:p>
      <w:pPr>
        <w:pStyle w:val="0"/>
        <w:wordWrap w:val="0"/>
        <w:ind w:right="-7" w:firstLine="5528" w:firstLineChars="2764"/>
        <w:rPr>
          <w:rFonts w:hint="eastAsia" w:ascii="游ゴシック Light" w:hAnsi="游ゴシック Light" w:eastAsia="游ゴシック Light"/>
          <w:sz w:val="20"/>
        </w:rPr>
      </w:pPr>
      <w:r>
        <w:rPr>
          <w:rFonts w:hint="eastAsia" w:ascii="游ゴシック Light" w:hAnsi="游ゴシック Light" w:eastAsia="游ゴシック Light"/>
          <w:sz w:val="20"/>
        </w:rPr>
        <w:t>担当者</w:t>
      </w:r>
    </w:p>
    <w:p>
      <w:pPr>
        <w:pStyle w:val="0"/>
        <w:wordWrap w:val="0"/>
        <w:ind w:right="-7" w:firstLine="5528" w:firstLineChars="2764"/>
        <w:rPr>
          <w:rFonts w:hint="eastAsia" w:ascii="游ゴシック Light" w:hAnsi="游ゴシック Light" w:eastAsia="游ゴシック Light"/>
          <w:sz w:val="20"/>
        </w:rPr>
      </w:pPr>
      <w:r>
        <w:rPr>
          <w:rFonts w:hint="eastAsia" w:ascii="游ゴシック Light" w:hAnsi="游ゴシック Light" w:eastAsia="游ゴシック Light"/>
          <w:sz w:val="20"/>
        </w:rPr>
        <w:t>電話番号</w:t>
      </w:r>
    </w:p>
    <w:p>
      <w:pPr>
        <w:pStyle w:val="0"/>
        <w:wordWrap w:val="0"/>
        <w:ind w:right="-7" w:firstLine="5528" w:firstLineChars="2764"/>
        <w:rPr>
          <w:rFonts w:hint="default" w:ascii="游ゴシック Light" w:hAnsi="游ゴシック Light" w:eastAsia="游ゴシック Light"/>
          <w:sz w:val="20"/>
        </w:rPr>
      </w:pPr>
      <w:r>
        <w:rPr>
          <w:rFonts w:hint="default" w:ascii="游ゴシック Light" w:hAnsi="游ゴシック Light" w:eastAsia="游ゴシック Light"/>
          <w:sz w:val="20"/>
        </w:rPr>
        <w:t>E-MAIL</w:t>
      </w:r>
    </w:p>
    <w:sectPr>
      <w:pgSz w:w="11906" w:h="16838" w:orient="landscape"/>
      <w:pgMar w:top="1250" w:right="1418" w:bottom="1418" w:left="1418" w:header="851" w:footer="992" w:gutter="0"/>
      <w:cols w:space="720"/>
      <w:textDirection w:val="lrTb"/>
      <w:docGrid w:linePitch="45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rawingGridVerticalSpacing w:val="451"/>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p"/>
    <w:basedOn w:val="10"/>
    <w:next w:val="15"/>
    <w:link w:val="0"/>
    <w:uiPriority w:val="0"/>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rPr>
      <w:rFonts w:ascii="ＭＳ 明朝" w:hAnsi="ＭＳ 明朝"/>
      <w:kern w:val="2"/>
      <w:sz w:val="22"/>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rPr>
      <w:rFonts w:ascii="ＭＳ 明朝" w:hAnsi="ＭＳ 明朝"/>
      <w:kern w:val="2"/>
      <w:sz w:val="22"/>
    </w:rPr>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basedOn w:val="10"/>
    <w:next w:val="21"/>
    <w:link w:val="20"/>
    <w:uiPriority w:val="0"/>
    <w:rPr>
      <w:rFonts w:ascii="Arial" w:hAnsi="Arial" w:eastAsia="ＭＳ ゴシック"/>
      <w:kern w:val="2"/>
      <w:sz w:val="18"/>
    </w:rPr>
  </w:style>
  <w:style w:type="character" w:styleId="22">
    <w:name w:val="annotation reference"/>
    <w:basedOn w:val="10"/>
    <w:next w:val="22"/>
    <w:link w:val="0"/>
    <w:uiPriority w:val="0"/>
    <w:semiHidden/>
    <w:rPr>
      <w:sz w:val="18"/>
    </w:rPr>
  </w:style>
  <w:style w:type="paragraph" w:styleId="23">
    <w:name w:val="annotation text"/>
    <w:basedOn w:val="0"/>
    <w:next w:val="23"/>
    <w:link w:val="24"/>
    <w:uiPriority w:val="0"/>
    <w:semiHidden/>
    <w:pPr>
      <w:jc w:val="left"/>
    </w:pPr>
  </w:style>
  <w:style w:type="character" w:styleId="24" w:customStyle="1">
    <w:name w:val="コメント文字列 (文字)"/>
    <w:basedOn w:val="10"/>
    <w:next w:val="24"/>
    <w:link w:val="23"/>
    <w:uiPriority w:val="0"/>
    <w:rPr>
      <w:rFonts w:ascii="ＭＳ 明朝" w:hAnsi="ＭＳ 明朝"/>
      <w:kern w:val="2"/>
      <w:sz w:val="22"/>
    </w:rPr>
  </w:style>
  <w:style w:type="paragraph" w:styleId="25">
    <w:name w:val="annotation subject"/>
    <w:basedOn w:val="23"/>
    <w:next w:val="23"/>
    <w:link w:val="26"/>
    <w:uiPriority w:val="0"/>
    <w:semiHidden/>
    <w:rPr>
      <w:b w:val="1"/>
    </w:rPr>
  </w:style>
  <w:style w:type="character" w:styleId="26" w:customStyle="1">
    <w:name w:val="コメント内容 (文字)"/>
    <w:basedOn w:val="24"/>
    <w:next w:val="26"/>
    <w:link w:val="25"/>
    <w:uiPriority w:val="0"/>
    <w:rPr>
      <w:rFonts w:ascii="ＭＳ 明朝" w:hAnsi="ＭＳ 明朝"/>
      <w:b w:val="1"/>
      <w:kern w:val="2"/>
      <w:sz w:val="22"/>
    </w:rPr>
  </w:style>
  <w:style w:type="paragraph" w:styleId="27">
    <w:name w:val="Note Heading"/>
    <w:basedOn w:val="0"/>
    <w:next w:val="0"/>
    <w:link w:val="28"/>
    <w:uiPriority w:val="0"/>
    <w:pPr>
      <w:jc w:val="center"/>
    </w:pPr>
    <w:rPr>
      <w:rFonts w:asciiTheme="minorHAnsi" w:hAnsiTheme="minorHAnsi" w:eastAsiaTheme="minorEastAsia"/>
      <w:sz w:val="21"/>
    </w:rPr>
  </w:style>
  <w:style w:type="character" w:styleId="28" w:customStyle="1">
    <w:name w:val="記 (文字)"/>
    <w:basedOn w:val="10"/>
    <w:next w:val="28"/>
    <w:link w:val="27"/>
    <w:uiPriority w:val="0"/>
    <w:rPr>
      <w:rFonts w:asciiTheme="minorHAnsi" w:hAnsiTheme="minorHAnsi" w:eastAsiaTheme="minorEastAsia"/>
      <w:kern w:val="2"/>
      <w:sz w:val="21"/>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rPr>
      <w:rFonts w:asciiTheme="minorHAnsi" w:hAnsiTheme="minorHAnsi" w:eastAsiaTheme="minorEastAsia"/>
      <w:kern w:val="2"/>
      <w:sz w:val="21"/>
    </w:r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TotalTime>
  <Pages>9</Pages>
  <Words>32</Words>
  <Characters>2093</Characters>
  <Application>JUST Note</Application>
  <Lines>264</Lines>
  <Paragraphs>117</Paragraphs>
  <CharactersWithSpaces>2377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宮園翔次(2009)</dc:creator>
  <cp:lastModifiedBy>Administrator</cp:lastModifiedBy>
  <cp:lastPrinted>2016-12-27T02:34:00Z</cp:lastPrinted>
  <dcterms:created xsi:type="dcterms:W3CDTF">2026-09-21T05:19:00Z</dcterms:created>
  <dcterms:modified xsi:type="dcterms:W3CDTF">2026-10-07T03:39:54Z</dcterms:modified>
  <cp:revision>7</cp:revision>
</cp:coreProperties>
</file>