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0"/>
        <w:gridCol w:w="3220"/>
        <w:gridCol w:w="3220"/>
      </w:tblGrid>
      <w:tr>
        <w:trPr>
          <w:trHeight w:val="315" w:hRule="atLeast"/>
        </w:trPr>
        <w:tc>
          <w:tcPr>
            <w:tcW w:w="9660" w:type="dxa"/>
            <w:gridSpan w:val="3"/>
            <w:vAlign w:val="center"/>
          </w:tcPr>
          <w:p>
            <w:pPr>
              <w:pStyle w:val="0"/>
              <w:suppressAutoHyphens w:val="1"/>
              <w:kinsoku w:val="0"/>
              <w:autoSpaceDE w:val="0"/>
              <w:autoSpaceDN w:val="0"/>
              <w:spacing w:line="220" w:lineRule="exact"/>
              <w:jc w:val="center"/>
              <w:rPr>
                <w:rFonts w:hint="default" w:asciiTheme="majorEastAsia" w:hAnsiTheme="majorEastAsia" w:eastAsiaTheme="majorEastAsia"/>
              </w:rPr>
            </w:pPr>
            <w:r>
              <w:rPr>
                <w:rFonts w:hint="eastAsia" w:ascii="ＭＳ ゴシック" w:hAnsi="ＭＳ ゴシック" w:eastAsia="ＭＳ ゴシック"/>
              </w:rPr>
              <w:t>認定権者記載欄</w:t>
            </w:r>
          </w:p>
        </w:tc>
      </w:tr>
      <w:tr>
        <w:trPr>
          <w:trHeight w:val="315" w:hRule="atLeast"/>
        </w:trPr>
        <w:tc>
          <w:tcPr>
            <w:tcW w:w="322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r>
        <w:trPr>
          <w:trHeight w:val="315" w:hRule="atLeast"/>
        </w:trPr>
        <w:tc>
          <w:tcPr>
            <w:tcW w:w="322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c>
          <w:tcPr>
            <w:tcW w:w="3220" w:type="dxa"/>
            <w:vAlign w:val="top"/>
          </w:tcPr>
          <w:p>
            <w:pPr>
              <w:pStyle w:val="0"/>
              <w:suppressAutoHyphens w:val="1"/>
              <w:kinsoku w:val="0"/>
              <w:autoSpaceDE w:val="0"/>
              <w:autoSpaceDN w:val="0"/>
              <w:spacing w:line="220" w:lineRule="exact"/>
              <w:jc w:val="left"/>
              <w:rPr>
                <w:rFonts w:hint="default" w:asciiTheme="majorEastAsia" w:hAnsiTheme="majorEastAsia" w:eastAsiaTheme="majorEastAsia"/>
              </w:rPr>
            </w:pPr>
          </w:p>
        </w:tc>
      </w:tr>
    </w:tbl>
    <w:p>
      <w:pPr>
        <w:pStyle w:val="0"/>
        <w:suppressAutoHyphens w:val="1"/>
        <w:kinsoku w:val="0"/>
        <w:autoSpaceDE w:val="0"/>
        <w:autoSpaceDN w:val="0"/>
        <w:spacing w:line="220" w:lineRule="exact"/>
        <w:jc w:val="left"/>
        <w:rPr>
          <w:rFonts w:hint="default" w:asciiTheme="majorEastAsia" w:hAnsiTheme="majorEastAsia" w:eastAsiaTheme="majorEastAsia"/>
        </w:rPr>
      </w:pPr>
      <w:r>
        <w:rPr>
          <w:rFonts w:hint="eastAsia" w:ascii="ＭＳ ゴシック" w:hAnsi="ＭＳ ゴシック" w:eastAsia="ＭＳ ゴシック"/>
          <w:color w:val="000000"/>
          <w:kern w:val="0"/>
        </w:rPr>
        <w:t>様式第５－（イ）－③</w:t>
      </w:r>
    </w:p>
    <w:tbl>
      <w:tblPr>
        <w:tblStyle w:val="11"/>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8"/>
      </w:tblGrid>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20" w:lineRule="exact"/>
              <w:ind w:right="250" w:rightChars="119"/>
              <w:jc w:val="righ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20" w:lineRule="exact"/>
              <w:ind w:left="0" w:leftChars="0"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小林市長　宮原　義久　殿</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氏　名</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電話番号（　　　　）　　－　　　　　　　　　</w:t>
            </w:r>
            <w:r>
              <w:rPr>
                <w:rFonts w:hint="eastAsia" w:ascii="ＭＳ ゴシック" w:hAnsi="ＭＳ ゴシック" w:eastAsia="ＭＳ ゴシック"/>
                <w:color w:val="000000"/>
                <w:kern w:val="0"/>
                <w:u w:val="single" w:color="auto"/>
              </w:rPr>
              <w:t xml:space="preserve">  </w:t>
            </w:r>
            <w:bookmarkStart w:id="0" w:name="_GoBack"/>
            <w:bookmarkEnd w:id="0"/>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20" w:lineRule="exact"/>
              <w:rPr>
                <w:rFonts w:hint="eastAsia" w:ascii="ＭＳ ゴシック" w:hAnsi="ＭＳ ゴシック" w:eastAsia="ＭＳ ゴシック"/>
              </w:rPr>
            </w:pPr>
            <w:r>
              <w:rPr>
                <w:rFonts w:hint="eastAsia" w:ascii="ＭＳ ゴシック" w:hAnsi="ＭＳ ゴシック" w:eastAsia="ＭＳ ゴシック"/>
              </w:rPr>
              <w:t>記</w:t>
            </w:r>
          </w:p>
          <w:p>
            <w:pPr>
              <w:pStyle w:val="17"/>
              <w:spacing w:line="220" w:lineRule="exact"/>
              <w:jc w:val="left"/>
              <w:rPr>
                <w:rFonts w:hint="eastAsia" w:ascii="ＭＳ ゴシック" w:hAnsi="ＭＳ ゴシック" w:eastAsia="ＭＳ ゴシック"/>
              </w:rPr>
            </w:pPr>
            <w:r>
              <w:rPr>
                <w:rFonts w:hint="eastAsia" w:ascii="ＭＳ ゴシック" w:hAnsi="ＭＳ ゴシック" w:eastAsia="ＭＳ ゴシック"/>
              </w:rPr>
              <w:t>（表</w:t>
            </w:r>
            <w:r>
              <w:rPr>
                <w:rFonts w:hint="eastAsia" w:ascii="ＭＳ ゴシック" w:hAnsi="ＭＳ ゴシック" w:eastAsia="ＭＳ ゴシック"/>
              </w:rPr>
              <w:t>)</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3"/>
              <w:gridCol w:w="3163"/>
            </w:tblGrid>
            <w:tr>
              <w:trPr>
                <w:trHeight w:val="340"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c>
                <w:tcPr>
                  <w:tcW w:w="316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r>
            <w:tr>
              <w:trPr>
                <w:trHeight w:val="340"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c>
                <w:tcPr>
                  <w:tcW w:w="3163" w:type="dxa"/>
                  <w:vAlign w:val="center"/>
                </w:tcPr>
                <w:p>
                  <w:pPr>
                    <w:pStyle w:val="0"/>
                    <w:suppressAutoHyphens w:val="1"/>
                    <w:kinsoku w:val="0"/>
                    <w:overflowPunct w:val="0"/>
                    <w:autoSpaceDE w:val="0"/>
                    <w:autoSpaceDN w:val="0"/>
                    <w:adjustRightInd w:val="0"/>
                    <w:spacing w:line="220" w:lineRule="exact"/>
                    <w:textAlignment w:val="baseline"/>
                    <w:rPr>
                      <w:rFonts w:hint="eastAsia"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spacing w:line="220" w:lineRule="exact"/>
              <w:ind w:left="786" w:leftChars="199" w:hanging="368" w:hangingChars="175"/>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割合　　　　％</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Ａ：申込時点における最近３か月間の指定業種に属する事業の売上高等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円</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Ｂ：Ａの期間に対応する前年の３か月間の指定業種に属する事業の売上高等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630" w:firstLineChars="3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（２）企業全体の売上高等の減少率　　　　　　　　　　　　　　　　　　　　</w:t>
            </w:r>
            <w:r>
              <w:rPr>
                <w:rFonts w:hint="eastAsia" w:ascii="ＭＳ ゴシック" w:hAnsi="ＭＳ ゴシック" w:eastAsia="ＭＳ ゴシック"/>
                <w:color w:val="000000"/>
                <w:kern w:val="0"/>
                <w:u w:val="single" w:color="auto"/>
              </w:rPr>
              <w:t>減少率　　　％</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Ｄ－Ｃ</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Ｄ　×</w:t>
            </w:r>
            <w:r>
              <w:rPr>
                <w:rFonts w:hint="eastAsia"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Ｃ：Ａの期間の全体の売上高等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1050" w:firstLineChars="5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Ｄ：Ａの期間に対応する前年の３か月間の全体の売上高等　　　　　　　　　</w:t>
            </w:r>
            <w:r>
              <w:rPr>
                <w:rFonts w:hint="eastAsia" w:ascii="ＭＳ ゴシック" w:hAnsi="ＭＳ ゴシック" w:eastAsia="ＭＳ ゴシック"/>
                <w:color w:val="000000"/>
                <w:kern w:val="0"/>
                <w:u w:val="single" w:color="auto"/>
              </w:rPr>
              <w:t>　　　　円</w:t>
            </w:r>
          </w:p>
        </w:tc>
      </w:tr>
      <w:tr>
        <w:trPr/>
        <w:tc>
          <w:tcPr>
            <w:tcW w:w="9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20" w:lineRule="exact"/>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kinsoku w:val="0"/>
              <w:overflowPunct w:val="0"/>
              <w:autoSpaceDE w:val="0"/>
              <w:autoSpaceDN w:val="0"/>
              <w:adjustRightInd w:val="0"/>
              <w:spacing w:line="220" w:lineRule="exact"/>
              <w:jc w:val="center"/>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　　　小林市長　宮原　義久　　　　　</w:t>
            </w:r>
          </w:p>
        </w:tc>
      </w:tr>
    </w:tbl>
    <w:p>
      <w:pPr>
        <w:pStyle w:val="0"/>
        <w:suppressAutoHyphens w:val="1"/>
        <w:kinsoku w:val="0"/>
        <w:overflowPunct w:val="0"/>
        <w:autoSpaceDE w:val="0"/>
        <w:autoSpaceDN w:val="0"/>
        <w:adjustRightInd w:val="0"/>
        <w:spacing w:line="220" w:lineRule="exact"/>
        <w:ind w:left="527" w:leftChars="-65" w:hanging="663" w:hangingChars="27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20" w:hanging="4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市町村長から認定を受けた後、本認定の有効期間内に金融機関又は信用保証協会に対して、経営安定関連保証の申込みを行うことが必要です。</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2022-05-06T02:58:00Z</dcterms:created>
  <dcterms:modified xsi:type="dcterms:W3CDTF">2022-05-06T03:01:21Z</dcterms:modified>
  <cp:revision>0</cp:revision>
</cp:coreProperties>
</file>