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2" w:type="dxa"/>
        <w:tblInd w:w="6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2"/>
      </w:tblGrid>
      <w:tr>
        <w:trPr>
          <w:trHeight w:val="400" w:hRule="atLeast"/>
        </w:trPr>
        <w:tc>
          <w:tcPr>
            <w:tcW w:w="3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73" w:hRule="atLeast"/>
        </w:trPr>
        <w:tc>
          <w:tcPr>
            <w:tcW w:w="3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rPr>
          <w:rFonts w:hint="eastAsia"/>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035"/>
      </w:tblGrid>
      <w:tr>
        <w:trPr>
          <w:trHeight w:val="9104" w:hRule="atLeast"/>
        </w:trPr>
        <w:tc>
          <w:tcPr>
            <w:tcW w:w="100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小林市長　宮原　義久　殿</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名（会社名）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bookmarkStart w:id="0" w:name="_GoBack"/>
            <w:bookmarkEnd w:id="0"/>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180" w:lineRule="exact"/>
              <w:ind w:firstLine="5406" w:firstLineChars="255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電話番号（　　　）　－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kern w:val="0"/>
                <w:u w:val="single" w:color="auto"/>
              </w:rPr>
              <w:t>　　　業</w:t>
            </w:r>
            <w:r>
              <w:rPr>
                <w:rFonts w:hint="eastAsia" w:ascii="ＭＳ ゴシック" w:hAnsi="ＭＳ ゴシック" w:eastAsia="ＭＳ ゴシック"/>
                <w:color w:val="000000"/>
                <w:kern w:val="0"/>
              </w:rPr>
              <w:t>（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5324" w:firstLineChars="22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5808" w:firstLineChars="24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主たる業種に係る売上原価</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全体に係る仕入れ価格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③製品等価格への転嫁の状況（注４）</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主たる業種に係る売上高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r>
        <w:trPr>
          <w:trHeight w:val="1544" w:hRule="atLeast"/>
        </w:trPr>
        <w:tc>
          <w:tcPr>
            <w:tcW w:w="100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申請のとおり相違ないことを認定します。</w:t>
            </w:r>
          </w:p>
          <w:p>
            <w:pPr>
              <w:pStyle w:val="0"/>
              <w:suppressAutoHyphens w:val="1"/>
              <w:kinsoku w:val="0"/>
              <w:overflowPunct w:val="0"/>
              <w:autoSpaceDE w:val="0"/>
              <w:autoSpaceDN w:val="0"/>
              <w:adjustRightInd w:val="0"/>
              <w:spacing w:line="260" w:lineRule="exact"/>
              <w:ind w:firstLine="1050" w:firstLineChars="5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認定者　　小林市長　宮原　義久</w:t>
            </w:r>
          </w:p>
        </w:tc>
      </w:tr>
    </w:tbl>
    <w:p>
      <w:pPr>
        <w:pStyle w:val="0"/>
        <w:suppressAutoHyphens w:val="1"/>
        <w:spacing w:line="240" w:lineRule="exact"/>
        <w:ind w:left="567" w:hanging="567"/>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pPr>
        <w:pStyle w:val="0"/>
        <w:suppressAutoHyphens w:val="1"/>
        <w:spacing w:line="240" w:lineRule="exact"/>
        <w:ind w:left="862" w:hanging="862"/>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には、主たる事業が属する指定業種（日本標準産業分類の細分類番号と細分類</w:t>
      </w:r>
      <w:r>
        <w:rPr>
          <w:rFonts w:hint="eastAsia" w:ascii="ＭＳ ゴシック" w:hAnsi="ＭＳ ゴシック" w:eastAsia="ＭＳ ゴシック"/>
          <w:color w:val="000000"/>
          <w:spacing w:val="16"/>
          <w:kern w:val="0"/>
          <w:sz w:val="18"/>
        </w:rPr>
        <w:t>業種名）を記載。</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（注３）主たる業種及び申請者全体の原油等の仕入単価、売上原価、原油等の仕入価格を記載。上昇率及び依存率が２０％以上となっていること。</w:t>
      </w:r>
    </w:p>
    <w:p>
      <w:pPr>
        <w:pStyle w:val="0"/>
        <w:suppressAutoHyphens w:val="1"/>
        <w:spacing w:line="24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（注４）主たる業種及び申請者全体の原油等の仕入価格、売上高を記載。Ｐ＞０となっていること。</w:t>
      </w:r>
    </w:p>
    <w:p>
      <w:pPr>
        <w:pStyle w:val="0"/>
        <w:suppressAutoHyphens w:val="1"/>
        <w:wordWrap w:val="0"/>
        <w:spacing w:line="240" w:lineRule="exact"/>
        <w:ind w:left="1230" w:hanging="1230"/>
        <w:jc w:val="left"/>
        <w:textAlignment w:val="baseline"/>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84455</wp:posOffset>
                </wp:positionH>
                <wp:positionV relativeFrom="paragraph">
                  <wp:posOffset>228600</wp:posOffset>
                </wp:positionV>
                <wp:extent cx="6105525" cy="752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05525" cy="752475"/>
                        </a:xfrm>
                        <a:prstGeom prst="rect">
                          <a:avLst/>
                        </a:prstGeom>
                        <a:solidFill>
                          <a:srgbClr val="FFFFFF"/>
                        </a:solidFill>
                        <a:ln w="6350" cmpd="sng">
                          <a:solidFill>
                            <a:schemeClr val="bg1"/>
                          </a:solidFill>
                        </a:ln>
                      </wps:spPr>
                      <wps:style>
                        <a:lnRef idx="0">
                          <a:srgbClr val="000000"/>
                        </a:lnRef>
                        <a:fillRef idx="0">
                          <a:srgbClr val="000000"/>
                        </a:fillRef>
                        <a:effectRef idx="0">
                          <a:srgbClr val="000000"/>
                        </a:effectRef>
                        <a:fontRef idx="minor">
                          <a:schemeClr val="dk1"/>
                        </a:fontRef>
                      </wps:style>
                      <wps:txbx>
                        <w:txbxContent>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　市町村長又は特別区長から認定を受けた後、本認定の有効期間内に金融機関又は信用保証協会に対して、経営安定関連保証の申込みを行うことが必要です。</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pt;mso-position-vertical-relative:text;mso-position-horizontal-relative:text;position:absolute;height:59.25pt;mso-wrap-distance-top:0pt;width:480.75pt;mso-wrap-distance-left:16pt;margin-left:6.65pt;z-index:2;" o:spid="_x0000_s1026" o:allowincell="t" o:allowoverlap="t" filled="t" fillcolor="#ffffff" stroked="t" strokecolor="#ffffff [3212]" strokeweight="0.5pt" o:spt="202" type="#_x0000_t202">
                <v:fill/>
                <v:stroke linestyle="single" filltype="solid"/>
                <v:textbox style="layout-flow:horizontal;" inset="2.0637499999999998mm,0.24694444444444438mm,2.0637499999999998mm,0.24694444444444438mm">
                  <w:txbxContent>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　市町村長又は特別区長から認定を受けた後、本認定の有効期間内に金融機関又は信用保証協会に対して、経営安定関連保証の申込みを行うことが必要です。</w:t>
                      </w:r>
                    </w:p>
                    <w:p>
                      <w:pPr>
                        <w:pStyle w:val="0"/>
                        <w:rPr>
                          <w:rFonts w:hint="eastAsia"/>
                        </w:rPr>
                      </w:pP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（留意事項）</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横井　光太郎</dc:creator>
  <cp:lastModifiedBy>横井　光太郎</cp:lastModifiedBy>
  <dcterms:created xsi:type="dcterms:W3CDTF">2022-05-12T04:39:00Z</dcterms:created>
  <dcterms:modified xsi:type="dcterms:W3CDTF">2022-05-12T04:46:30Z</dcterms:modified>
  <cp:revision>0</cp:revision>
</cp:coreProperties>
</file>